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bookmarkStart w:id="0" w:name="header-n2"/>
      <w:bookmarkEnd w:id="0"/>
      <w:r>
        <w:rPr/>
        <w:t>Design Thinking Syllabus</w:t>
      </w:r>
    </w:p>
    <w:tbl>
      <w:tblPr>
        <w:tblW w:w="8928" w:type="dxa"/>
        <w:jc w:val="left"/>
        <w:tblInd w:w="0" w:type="dxa"/>
        <w:tblBorders/>
        <w:tblCellMar>
          <w:top w:w="0" w:type="dxa"/>
          <w:left w:w="113" w:type="dxa"/>
          <w:bottom w:w="0" w:type="dxa"/>
          <w:right w:w="108" w:type="dxa"/>
        </w:tblCellMar>
      </w:tblPr>
      <w:tblGrid>
        <w:gridCol w:w="1340"/>
        <w:gridCol w:w="1312"/>
        <w:gridCol w:w="1506"/>
        <w:gridCol w:w="2879"/>
        <w:gridCol w:w="475"/>
        <w:gridCol w:w="516"/>
        <w:gridCol w:w="450"/>
        <w:gridCol w:w="450"/>
      </w:tblGrid>
      <w:tr>
        <w:trPr>
          <w:trHeight w:val="288" w:hRule="exact"/>
        </w:trPr>
        <w:tc>
          <w:tcPr>
            <w:tcW w:w="134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Int. Marks</w:t>
            </w:r>
          </w:p>
        </w:tc>
        <w:tc>
          <w:tcPr>
            <w:tcW w:w="1312"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Ext. Marks</w:t>
            </w:r>
          </w:p>
        </w:tc>
        <w:tc>
          <w:tcPr>
            <w:tcW w:w="1506"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Total Marks</w:t>
            </w:r>
          </w:p>
        </w:tc>
        <w:tc>
          <w:tcPr>
            <w:tcW w:w="2879"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r>
          </w:p>
        </w:tc>
        <w:tc>
          <w:tcPr>
            <w:tcW w:w="475"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L</w:t>
            </w:r>
          </w:p>
        </w:tc>
        <w:tc>
          <w:tcPr>
            <w:tcW w:w="516"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T</w:t>
            </w:r>
          </w:p>
        </w:tc>
        <w:tc>
          <w:tcPr>
            <w:tcW w:w="45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P</w:t>
            </w:r>
          </w:p>
        </w:tc>
        <w:tc>
          <w:tcPr>
            <w:tcW w:w="45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C</w:t>
            </w:r>
          </w:p>
        </w:tc>
      </w:tr>
      <w:tr>
        <w:trPr>
          <w:trHeight w:val="288" w:hRule="exact"/>
        </w:trPr>
        <w:tc>
          <w:tcPr>
            <w:tcW w:w="134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40</w:t>
            </w:r>
          </w:p>
        </w:tc>
        <w:tc>
          <w:tcPr>
            <w:tcW w:w="1312"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60</w:t>
            </w:r>
          </w:p>
        </w:tc>
        <w:tc>
          <w:tcPr>
            <w:tcW w:w="1506"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100</w:t>
            </w:r>
          </w:p>
        </w:tc>
        <w:tc>
          <w:tcPr>
            <w:tcW w:w="2879"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r>
          </w:p>
        </w:tc>
        <w:tc>
          <w:tcPr>
            <w:tcW w:w="475"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3</w:t>
            </w:r>
          </w:p>
        </w:tc>
        <w:tc>
          <w:tcPr>
            <w:tcW w:w="516"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w:t>
            </w:r>
          </w:p>
        </w:tc>
        <w:tc>
          <w:tcPr>
            <w:tcW w:w="45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w:t>
            </w:r>
          </w:p>
        </w:tc>
        <w:tc>
          <w:tcPr>
            <w:tcW w:w="450" w:type="dxa"/>
            <w:tcBorders/>
            <w:shd w:fill="FFFFFF" w:val="clear"/>
            <w:vAlign w:val="center"/>
          </w:tcPr>
          <w:p>
            <w:pPr>
              <w:pStyle w:val="Normal"/>
              <w:spacing w:before="0" w:after="200"/>
              <w:jc w:val="center"/>
              <w:rPr>
                <w:rFonts w:ascii="Verdana" w:hAnsi="Verdana"/>
                <w:sz w:val="20"/>
                <w:szCs w:val="20"/>
              </w:rPr>
            </w:pPr>
            <w:r>
              <w:rPr>
                <w:rFonts w:ascii="Verdana" w:hAnsi="Verdana"/>
                <w:sz w:val="20"/>
                <w:szCs w:val="20"/>
              </w:rPr>
              <w:t>3</w:t>
            </w:r>
          </w:p>
        </w:tc>
      </w:tr>
    </w:tbl>
    <w:p>
      <w:pPr>
        <w:pStyle w:val="Normal"/>
        <w:rPr/>
      </w:pPr>
      <w:r>
        <w:rPr/>
      </w:r>
    </w:p>
    <w:p>
      <w:pPr>
        <w:pStyle w:val="Heading2"/>
        <w:rPr/>
      </w:pPr>
      <w:bookmarkStart w:id="1" w:name="header-n21"/>
      <w:bookmarkEnd w:id="1"/>
      <w:r>
        <w:rPr/>
        <w:t>Introduction</w:t>
      </w:r>
    </w:p>
    <w:p>
      <w:pPr>
        <w:pStyle w:val="FirstParagraph"/>
        <w:rPr/>
      </w:pPr>
      <w:r>
        <w:rPr>
          <w:b/>
        </w:rPr>
        <w:t>Pre-Requisites:</w:t>
      </w:r>
      <w:r>
        <w:rPr/>
        <w:t xml:space="preserve"> No Prerequisites required.</w:t>
      </w:r>
    </w:p>
    <w:p>
      <w:pPr>
        <w:pStyle w:val="Heading2"/>
        <w:rPr/>
      </w:pPr>
      <w:bookmarkStart w:id="2" w:name="header-n23"/>
      <w:bookmarkEnd w:id="2"/>
      <w:r>
        <w:rPr/>
        <w:t>Course Description</w:t>
      </w:r>
    </w:p>
    <w:p>
      <w:pPr>
        <w:pStyle w:val="FirstParagraph"/>
        <w:rPr/>
      </w:pPr>
      <w:r>
        <w:rPr/>
        <w:t>Overview of design thinking process, empathize, human centered design (HCD), defining or analyzing, ideation and prototyping, testing and validation.</w:t>
      </w:r>
    </w:p>
    <w:p>
      <w:pPr>
        <w:pStyle w:val="Heading2"/>
        <w:rPr/>
      </w:pPr>
      <w:bookmarkStart w:id="3" w:name="header-n25"/>
      <w:bookmarkEnd w:id="3"/>
      <w:r>
        <w:rPr/>
        <w:t>Course Objectives</w:t>
      </w:r>
    </w:p>
    <w:p>
      <w:pPr>
        <w:pStyle w:val="Normal"/>
        <w:numPr>
          <w:ilvl w:val="0"/>
          <w:numId w:val="1"/>
        </w:numPr>
        <w:rPr/>
      </w:pPr>
      <w:r>
        <w:rPr/>
        <w:t>To impart knowledge on design thinking process for understanding complex designs.</w:t>
      </w:r>
    </w:p>
    <w:p>
      <w:pPr>
        <w:pStyle w:val="Normal"/>
        <w:numPr>
          <w:ilvl w:val="0"/>
          <w:numId w:val="1"/>
        </w:numPr>
        <w:rPr/>
      </w:pPr>
      <w:r>
        <w:rPr/>
        <w:t>To provide design skills to analyze design thinking issues and apply the tools and techniques of design.</w:t>
      </w:r>
    </w:p>
    <w:p>
      <w:pPr>
        <w:pStyle w:val="Normal"/>
        <w:numPr>
          <w:ilvl w:val="0"/>
          <w:numId w:val="1"/>
        </w:numPr>
        <w:rPr/>
      </w:pPr>
      <w:r>
        <w:rPr/>
        <w:t>To inculcate attitude to solve societal problems using design thinking tools.</w:t>
      </w:r>
    </w:p>
    <w:p>
      <w:pPr>
        <w:pStyle w:val="Heading2"/>
        <w:rPr/>
      </w:pPr>
      <w:bookmarkStart w:id="4" w:name="header-n33"/>
      <w:bookmarkEnd w:id="4"/>
      <w:r>
        <w:rPr/>
        <w:t>Course Outcomes</w:t>
      </w:r>
    </w:p>
    <w:p>
      <w:pPr>
        <w:pStyle w:val="FirstParagraph"/>
        <w:rPr/>
      </w:pPr>
      <w:r>
        <w:rPr/>
        <w:t>After successful completion of this course, the students will be able to:</w:t>
      </w:r>
    </w:p>
    <w:p>
      <w:pPr>
        <w:pStyle w:val="Normal"/>
        <w:numPr>
          <w:ilvl w:val="0"/>
          <w:numId w:val="2"/>
        </w:numPr>
        <w:rPr/>
      </w:pPr>
      <w:r>
        <w:rPr/>
        <w:t>CO1: Demonstrate knowledge of design thinking process</w:t>
      </w:r>
    </w:p>
    <w:p>
      <w:pPr>
        <w:pStyle w:val="Normal"/>
        <w:numPr>
          <w:ilvl w:val="0"/>
          <w:numId w:val="2"/>
        </w:numPr>
        <w:rPr/>
      </w:pPr>
      <w:r>
        <w:rPr/>
        <w:t>CO2: Apply design thinking techniques to design relevant products/services for a customer base.</w:t>
      </w:r>
    </w:p>
    <w:p>
      <w:pPr>
        <w:pStyle w:val="Normal"/>
        <w:numPr>
          <w:ilvl w:val="0"/>
          <w:numId w:val="2"/>
        </w:numPr>
        <w:rPr/>
      </w:pPr>
      <w:r>
        <w:rPr/>
        <w:t>CO3: Apply human centered design (HCD) methodology for product or service design.</w:t>
      </w:r>
    </w:p>
    <w:p>
      <w:pPr>
        <w:pStyle w:val="Normal"/>
        <w:numPr>
          <w:ilvl w:val="0"/>
          <w:numId w:val="2"/>
        </w:numPr>
        <w:rPr/>
      </w:pPr>
      <w:r>
        <w:rPr/>
        <w:t>CO4: Apply ideation techniques for developing innovative products or services for a specific target market.</w:t>
      </w:r>
    </w:p>
    <w:p>
      <w:pPr>
        <w:pStyle w:val="Normal"/>
        <w:numPr>
          <w:ilvl w:val="0"/>
          <w:numId w:val="2"/>
        </w:numPr>
        <w:rPr/>
      </w:pPr>
      <w:r>
        <w:rPr/>
        <w:t>CO5: Perform the steps to gain practical knowledge of prototyping, testing and validation.</w:t>
      </w:r>
    </w:p>
    <w:p>
      <w:pPr>
        <w:pStyle w:val="Heading2"/>
        <w:rPr/>
      </w:pPr>
      <w:bookmarkStart w:id="5" w:name="header-n46"/>
      <w:bookmarkEnd w:id="5"/>
      <w:r>
        <w:rPr/>
        <w:t>Detailed Syllabus</w:t>
      </w:r>
    </w:p>
    <w:p>
      <w:pPr>
        <w:pStyle w:val="Heading3"/>
        <w:rPr/>
      </w:pPr>
      <w:bookmarkStart w:id="6" w:name="header-n47"/>
      <w:bookmarkEnd w:id="6"/>
      <w:r>
        <w:rPr/>
        <w:t>Unit I: Overview of Design Thinking Process (9 Periods)</w:t>
      </w:r>
    </w:p>
    <w:p>
      <w:pPr>
        <w:pStyle w:val="FirstParagraph"/>
        <w:rPr/>
      </w:pPr>
      <w:r>
        <w:rPr/>
        <w:t>Design Thinking Process: Business context of innovation for applying design thinking, two models of design thinking, phases of design thinking, correlation with other philosophiesIntroduction to design thinking: Definition, Origin of design thinking, Importance of design thinking, Design vs Design thinking, Problem solving, Understanding design thinking and its process model, Design thinking tools.</w:t>
      </w:r>
    </w:p>
    <w:p>
      <w:pPr>
        <w:pStyle w:val="TextBody"/>
        <w:rPr/>
      </w:pPr>
      <w:r>
        <w:rPr/>
        <w:t>Human-Centered Design (HCD) process - Empathize, Define, Ideate, Prototype and Test and Iterate or Empathize, Analyze, Solve and Test.</w:t>
      </w:r>
    </w:p>
    <w:p>
      <w:pPr>
        <w:pStyle w:val="Heading3"/>
        <w:rPr/>
      </w:pPr>
      <w:bookmarkStart w:id="7" w:name="header-n50"/>
      <w:bookmarkEnd w:id="7"/>
      <w:r>
        <w:rPr/>
        <w:t>Unit II: Empathize (9 Periods)</w:t>
      </w:r>
    </w:p>
    <w:p>
      <w:pPr>
        <w:pStyle w:val="FirstParagraph"/>
        <w:rPr/>
      </w:pPr>
      <w:r>
        <w:rPr/>
        <w:t>Design thinking phases, How to emphatize, Role of empathy in design thinking, purpose of empathy maps, Things to be done prior to empathy mapping, creation of user personas, customer journey mapping, How might we questions. (9 Periods)</w:t>
      </w:r>
    </w:p>
    <w:p>
      <w:pPr>
        <w:pStyle w:val="Heading3"/>
        <w:rPr/>
      </w:pPr>
      <w:bookmarkStart w:id="8" w:name="header-n52"/>
      <w:bookmarkEnd w:id="8"/>
      <w:r>
        <w:rPr/>
        <w:t>Unit III: Analyze Or Define (9 Periods)</w:t>
      </w:r>
    </w:p>
    <w:p>
      <w:pPr>
        <w:pStyle w:val="FirstParagraph"/>
        <w:rPr/>
      </w:pPr>
      <w:r>
        <w:rPr/>
        <w:t>Root cause analysis, conflict of interest, perspective analysis, big picture thinking through system operator, big picture thinking through function modeling</w:t>
      </w:r>
    </w:p>
    <w:p>
      <w:pPr>
        <w:pStyle w:val="Heading3"/>
        <w:rPr/>
      </w:pPr>
      <w:bookmarkStart w:id="9" w:name="header-n54"/>
      <w:bookmarkEnd w:id="9"/>
      <w:r>
        <w:rPr/>
        <w:t>Unit IV: Solve Or Ideate (9 Periods)</w:t>
      </w:r>
    </w:p>
    <w:p>
      <w:pPr>
        <w:pStyle w:val="FirstParagraph"/>
        <w:rPr/>
      </w:pPr>
      <w:r>
        <w:rPr/>
        <w:t>Silent brainstorming, metaphors for ideation, CREATE and What-If tool for ideation, introduction to TRIZ, Inventive principles and their applications</w:t>
      </w:r>
    </w:p>
    <w:p>
      <w:pPr>
        <w:pStyle w:val="Heading3"/>
        <w:rPr/>
      </w:pPr>
      <w:bookmarkStart w:id="10" w:name="header-n56"/>
      <w:bookmarkEnd w:id="10"/>
      <w:r>
        <w:rPr/>
        <w:t>Unit I V: Test (Prototyping and Validation) (9 Periods)</w:t>
      </w:r>
    </w:p>
    <w:p>
      <w:pPr>
        <w:pStyle w:val="FirstParagraph"/>
        <w:rPr/>
      </w:pPr>
      <w:r>
        <w:rPr/>
        <w:t>Prototyping, Assumptions during the design thinking process, Validation in the market, best practices of presentation</w:t>
      </w:r>
    </w:p>
    <w:p>
      <w:pPr>
        <w:pStyle w:val="Heading3"/>
        <w:rPr/>
      </w:pPr>
      <w:bookmarkStart w:id="11" w:name="header-n58"/>
      <w:bookmarkEnd w:id="11"/>
      <w:r>
        <w:rPr/>
        <w:t>UNIT V: Design Innovation</w:t>
      </w:r>
    </w:p>
    <w:p>
      <w:pPr>
        <w:pStyle w:val="FirstParagraph"/>
        <w:rPr/>
      </w:pPr>
      <w:r>
        <w:rPr/>
        <w:t>Benefits of iteration in the design thinking process, taking the idea to the market, introduction to innovation management in a company</w:t>
      </w:r>
    </w:p>
    <w:p>
      <w:pPr>
        <w:pStyle w:val="Heading3"/>
        <w:rPr/>
      </w:pPr>
      <w:bookmarkStart w:id="12" w:name="header-n60"/>
      <w:bookmarkEnd w:id="12"/>
      <w:r>
        <w:rPr/>
        <w:t>Total Periods: 45</w:t>
      </w:r>
    </w:p>
    <w:p>
      <w:pPr>
        <w:pStyle w:val="Heading2"/>
        <w:rPr/>
      </w:pPr>
      <w:bookmarkStart w:id="13" w:name="header-n61"/>
      <w:bookmarkEnd w:id="13"/>
      <w:r>
        <w:rPr/>
        <w:t>Textbook</w:t>
      </w:r>
    </w:p>
    <w:p>
      <w:pPr>
        <w:pStyle w:val="Normal"/>
        <w:numPr>
          <w:ilvl w:val="0"/>
          <w:numId w:val="3"/>
        </w:numPr>
        <w:rPr/>
      </w:pPr>
      <w:r>
        <w:rPr/>
        <w:t>Dr. Bala Ramadurai, "</w:t>
      </w:r>
      <w:hyperlink r:id="rId2">
        <w:r>
          <w:rPr>
            <w:rStyle w:val="InternetLink"/>
          </w:rPr>
          <w:t>Karmic Design Thinking</w:t>
        </w:r>
      </w:hyperlink>
      <w:r>
        <w:rPr/>
        <w:t>", First Edition, 2020.</w:t>
      </w:r>
    </w:p>
    <w:p>
      <w:pPr>
        <w:pStyle w:val="Heading3"/>
        <w:rPr/>
      </w:pPr>
      <w:bookmarkStart w:id="14" w:name="header-n65"/>
      <w:bookmarkEnd w:id="14"/>
      <w:r>
        <w:rPr/>
        <w:t>Reference Books</w:t>
      </w:r>
    </w:p>
    <w:p>
      <w:pPr>
        <w:pStyle w:val="Normal"/>
        <w:numPr>
          <w:ilvl w:val="0"/>
          <w:numId w:val="4"/>
        </w:numPr>
        <w:rPr/>
      </w:pPr>
      <w:hyperlink r:id="rId3">
        <w:r>
          <w:rPr>
            <w:rStyle w:val="InternetLink"/>
          </w:rPr>
          <w:t>101 Design Methods: A Structured Approach for Driving Innovation in Your Organization</w:t>
        </w:r>
      </w:hyperlink>
      <w:r>
        <w:rPr/>
        <w:t xml:space="preserve"> by Vijay Kumar</w:t>
      </w:r>
    </w:p>
    <w:p>
      <w:pPr>
        <w:pStyle w:val="Normal"/>
        <w:numPr>
          <w:ilvl w:val="0"/>
          <w:numId w:val="4"/>
        </w:numPr>
        <w:rPr/>
      </w:pPr>
      <w:hyperlink r:id="rId4">
        <w:r>
          <w:rPr>
            <w:rStyle w:val="InternetLink"/>
          </w:rPr>
          <w:t>Human-Centered Design Toolkit: An Open-Source Toolkit To Inspire New Solutions in the Developing World</w:t>
        </w:r>
      </w:hyperlink>
      <w:r>
        <w:rPr/>
        <w:t xml:space="preserve"> by IDEO</w:t>
      </w:r>
    </w:p>
    <w:p>
      <w:pPr>
        <w:pStyle w:val="Normal"/>
        <w:numPr>
          <w:ilvl w:val="0"/>
          <w:numId w:val="4"/>
        </w:numPr>
        <w:rPr/>
      </w:pPr>
      <w:hyperlink r:id="rId5">
        <w:r>
          <w:rPr>
            <w:rStyle w:val="InternetLink"/>
          </w:rPr>
          <w:t>This is Service Design Thinking: Basics, Tools, Cases</w:t>
        </w:r>
      </w:hyperlink>
      <w:r>
        <w:rPr/>
        <w:t xml:space="preserve"> by Marc Stickdorn and Jakob Schneider</w:t>
      </w:r>
    </w:p>
    <w:p>
      <w:pPr>
        <w:pStyle w:val="Normal"/>
        <w:numPr>
          <w:ilvl w:val="0"/>
          <w:numId w:val="4"/>
        </w:numPr>
        <w:rPr/>
      </w:pPr>
      <w:r>
        <w:rPr/>
        <w:t>Ulrich, Karl T. Design: Creation of artifacts in society. Karl T. Ulrich, 2011.</w:t>
      </w:r>
    </w:p>
    <w:p>
      <w:pPr>
        <w:pStyle w:val="Heading3"/>
        <w:rPr/>
      </w:pPr>
      <w:bookmarkStart w:id="15" w:name="header-n75"/>
      <w:bookmarkEnd w:id="15"/>
      <w:r>
        <w:rPr/>
        <w:t>ADDITIONAL LEARNING RESOURCES</w:t>
      </w:r>
    </w:p>
    <w:p>
      <w:pPr>
        <w:pStyle w:val="Normal"/>
        <w:numPr>
          <w:ilvl w:val="0"/>
          <w:numId w:val="5"/>
        </w:numPr>
        <w:rPr/>
      </w:pPr>
      <w:hyperlink r:id="rId6">
        <w:r>
          <w:rPr>
            <w:rStyle w:val="InternetLink"/>
          </w:rPr>
          <w:t>https://www.interaction-design.org/literature/topics/design-thinking</w:t>
        </w:r>
      </w:hyperlink>
    </w:p>
    <w:p>
      <w:pPr>
        <w:pStyle w:val="Normal"/>
        <w:numPr>
          <w:ilvl w:val="0"/>
          <w:numId w:val="5"/>
        </w:numPr>
        <w:rPr/>
      </w:pPr>
      <w:hyperlink r:id="rId7">
        <w:r>
          <w:rPr>
            <w:rStyle w:val="InternetLink"/>
          </w:rPr>
          <w:t>https://www.interaction-design.org/literature/article/how-to-develop-an-empathic-approach-in-design-thinking</w:t>
        </w:r>
      </w:hyperlink>
    </w:p>
    <w:p>
      <w:pPr>
        <w:pStyle w:val="Normal"/>
        <w:numPr>
          <w:ilvl w:val="0"/>
          <w:numId w:val="5"/>
        </w:numPr>
        <w:rPr/>
      </w:pPr>
      <w:hyperlink r:id="rId8">
        <w:r>
          <w:rPr>
            <w:rStyle w:val="InternetLink"/>
          </w:rPr>
          <w:t>https://medium.com/dc-design/what-is-human-centered-design-6711c09e2779</w:t>
        </w:r>
      </w:hyperlink>
    </w:p>
    <w:p>
      <w:pPr>
        <w:pStyle w:val="Normal"/>
        <w:numPr>
          <w:ilvl w:val="0"/>
          <w:numId w:val="5"/>
        </w:numPr>
        <w:rPr/>
      </w:pPr>
      <w:hyperlink r:id="rId9">
        <w:r>
          <w:rPr>
            <w:rStyle w:val="InternetLink"/>
          </w:rPr>
          <w:t>https://think.design/user-design-research/user-testing/</w:t>
        </w:r>
      </w:hyperlink>
    </w:p>
    <w:p>
      <w:pPr>
        <w:pStyle w:val="Heading3"/>
        <w:rPr/>
      </w:pPr>
      <w:bookmarkStart w:id="16" w:name="header-n85"/>
      <w:bookmarkEnd w:id="16"/>
      <w:r>
        <w:rPr/>
        <w:t>Lesson Plan</w:t>
      </w:r>
    </w:p>
    <w:p>
      <w:pPr>
        <w:pStyle w:val="FirstParagraph"/>
        <w:rPr/>
      </w:pPr>
      <w:r>
        <w:rPr>
          <w:b/>
        </w:rPr>
        <w:t>Name of the Subject:</w:t>
      </w:r>
      <w:r>
        <w:rPr/>
        <w:t xml:space="preserve"> Design Thinking</w:t>
      </w:r>
    </w:p>
    <w:p>
      <w:pPr>
        <w:pStyle w:val="TextBody"/>
        <w:rPr/>
      </w:pPr>
      <w:r>
        <w:rPr>
          <w:b/>
        </w:rPr>
        <w:t>Class &amp; Semester:</w:t>
      </w:r>
    </w:p>
    <w:p>
      <w:pPr>
        <w:pStyle w:val="TextBody"/>
        <w:rPr/>
      </w:pPr>
      <w:r>
        <w:rPr>
          <w:b/>
        </w:rPr>
        <w:t>Name(s) of the faculty Member(s):</w:t>
      </w:r>
    </w:p>
    <w:tbl>
      <w:tblPr>
        <w:tblStyle w:val="TableNormal"/>
        <w:tblW w:w="8568" w:type="dxa"/>
        <w:jc w:val="left"/>
        <w:tblInd w:w="108" w:type="dxa"/>
        <w:tblBorders>
          <w:bottom w:val="single" w:sz="6" w:space="0" w:color="000001"/>
          <w:insideH w:val="single" w:sz="6" w:space="0" w:color="000001"/>
        </w:tblBorders>
        <w:tblCellMar>
          <w:top w:w="0" w:type="dxa"/>
          <w:left w:w="108" w:type="dxa"/>
          <w:bottom w:w="0" w:type="dxa"/>
          <w:right w:w="108" w:type="dxa"/>
        </w:tblCellMar>
        <w:tblLook w:firstRow="1"/>
      </w:tblPr>
      <w:tblGrid>
        <w:gridCol w:w="1805"/>
        <w:gridCol w:w="2517"/>
        <w:gridCol w:w="1081"/>
        <w:gridCol w:w="1080"/>
        <w:gridCol w:w="2085"/>
      </w:tblGrid>
      <w:tr>
        <w:trPr>
          <w:cnfStyle w:firstRow="1"/>
        </w:trPr>
        <w:tc>
          <w:tcPr>
            <w:tcW w:w="1805" w:type="dxa"/>
            <w:tcBorders>
              <w:bottom w:val="single" w:sz="6" w:space="0" w:color="000001"/>
              <w:insideH w:val="single" w:sz="6" w:space="0" w:color="000001"/>
            </w:tcBorders>
            <w:shd w:fill="auto" w:val="clear"/>
            <w:vAlign w:val="bottom"/>
          </w:tcPr>
          <w:p>
            <w:pPr>
              <w:pStyle w:val="Compact"/>
              <w:spacing w:before="36" w:after="36"/>
              <w:jc w:val="left"/>
              <w:rPr/>
            </w:pPr>
            <w:r>
              <w:rPr>
                <w:b/>
              </w:rPr>
              <w:t>S. No.</w:t>
            </w:r>
          </w:p>
        </w:tc>
        <w:tc>
          <w:tcPr>
            <w:tcW w:w="2517" w:type="dxa"/>
            <w:tcBorders>
              <w:bottom w:val="single" w:sz="6" w:space="0" w:color="000001"/>
              <w:insideH w:val="single" w:sz="6" w:space="0" w:color="000001"/>
            </w:tcBorders>
            <w:shd w:fill="auto" w:val="clear"/>
            <w:vAlign w:val="bottom"/>
          </w:tcPr>
          <w:p>
            <w:pPr>
              <w:pStyle w:val="Compact"/>
              <w:spacing w:before="36" w:after="36"/>
              <w:jc w:val="left"/>
              <w:rPr/>
            </w:pPr>
            <w:r>
              <w:rPr>
                <w:b/>
              </w:rPr>
              <w:t>Topic</w:t>
            </w:r>
          </w:p>
        </w:tc>
        <w:tc>
          <w:tcPr>
            <w:tcW w:w="1081" w:type="dxa"/>
            <w:tcBorders>
              <w:bottom w:val="single" w:sz="6" w:space="0" w:color="000001"/>
              <w:insideH w:val="single" w:sz="6" w:space="0" w:color="000001"/>
            </w:tcBorders>
            <w:shd w:fill="auto" w:val="clear"/>
            <w:vAlign w:val="bottom"/>
          </w:tcPr>
          <w:p>
            <w:pPr>
              <w:pStyle w:val="Compact"/>
              <w:spacing w:before="36" w:after="36"/>
              <w:jc w:val="left"/>
              <w:rPr/>
            </w:pPr>
            <w:r>
              <w:rPr>
                <w:b/>
              </w:rPr>
              <w:t>Periods</w:t>
            </w:r>
          </w:p>
        </w:tc>
        <w:tc>
          <w:tcPr>
            <w:tcW w:w="1080" w:type="dxa"/>
            <w:tcBorders>
              <w:bottom w:val="single" w:sz="6" w:space="0" w:color="000001"/>
              <w:insideH w:val="single" w:sz="6" w:space="0" w:color="000001"/>
            </w:tcBorders>
            <w:shd w:fill="auto" w:val="clear"/>
            <w:vAlign w:val="bottom"/>
          </w:tcPr>
          <w:p>
            <w:pPr>
              <w:pStyle w:val="Compact"/>
              <w:spacing w:before="36" w:after="36"/>
              <w:jc w:val="left"/>
              <w:rPr/>
            </w:pPr>
            <w:r>
              <w:rPr>
                <w:b/>
              </w:rPr>
              <w:t>Book(s)</w:t>
            </w:r>
          </w:p>
        </w:tc>
        <w:tc>
          <w:tcPr>
            <w:tcW w:w="2085" w:type="dxa"/>
            <w:tcBorders>
              <w:bottom w:val="single" w:sz="6" w:space="0" w:color="000001"/>
              <w:insideH w:val="single" w:sz="6" w:space="0" w:color="000001"/>
            </w:tcBorders>
            <w:shd w:fill="auto" w:val="clear"/>
            <w:vAlign w:val="bottom"/>
          </w:tcPr>
          <w:p>
            <w:pPr>
              <w:pStyle w:val="Compact"/>
              <w:spacing w:before="36" w:after="36"/>
              <w:jc w:val="left"/>
              <w:rPr/>
            </w:pPr>
            <w:r>
              <w:rPr>
                <w:b/>
              </w:rPr>
              <w:t>self study</w:t>
            </w:r>
          </w:p>
        </w:tc>
      </w:tr>
      <w:tr>
        <w:trPr/>
        <w:tc>
          <w:tcPr>
            <w:tcW w:w="1805" w:type="dxa"/>
            <w:tcBorders/>
            <w:shd w:fill="auto" w:val="clear"/>
          </w:tcPr>
          <w:p>
            <w:pPr>
              <w:pStyle w:val="Compact"/>
              <w:spacing w:before="36" w:after="36"/>
              <w:jc w:val="left"/>
              <w:rPr/>
            </w:pPr>
            <w:r>
              <w:rPr>
                <w:b/>
              </w:rPr>
              <w:t>Unit I: Overview of Design Thinking Process</w:t>
            </w:r>
          </w:p>
        </w:tc>
        <w:tc>
          <w:tcPr>
            <w:tcW w:w="2517" w:type="dxa"/>
            <w:tcBorders/>
            <w:shd w:fill="auto" w:val="clear"/>
          </w:tcPr>
          <w:p>
            <w:pPr>
              <w:pStyle w:val="Compact"/>
              <w:spacing w:before="36" w:after="36"/>
              <w:jc w:val="left"/>
              <w:rPr/>
            </w:pPr>
            <w:r>
              <w:rPr/>
            </w:r>
          </w:p>
        </w:tc>
        <w:tc>
          <w:tcPr>
            <w:tcW w:w="1081" w:type="dxa"/>
            <w:tcBorders/>
            <w:shd w:fill="auto" w:val="clear"/>
          </w:tcPr>
          <w:p>
            <w:pPr>
              <w:pStyle w:val="Compact"/>
              <w:spacing w:before="36" w:after="36"/>
              <w:jc w:val="left"/>
              <w:rPr/>
            </w:pPr>
            <w:r>
              <w:rPr/>
            </w:r>
          </w:p>
        </w:tc>
        <w:tc>
          <w:tcPr>
            <w:tcW w:w="1080" w:type="dxa"/>
            <w:tcBorders/>
            <w:shd w:fill="auto" w:val="clear"/>
          </w:tcPr>
          <w:p>
            <w:pPr>
              <w:pStyle w:val="Compact"/>
              <w:spacing w:before="36" w:after="36"/>
              <w:jc w:val="left"/>
              <w:rPr/>
            </w:pPr>
            <w:r>
              <w:rPr/>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w:t>
            </w:r>
          </w:p>
        </w:tc>
        <w:tc>
          <w:tcPr>
            <w:tcW w:w="2517" w:type="dxa"/>
            <w:tcBorders/>
            <w:shd w:fill="auto" w:val="clear"/>
          </w:tcPr>
          <w:p>
            <w:pPr>
              <w:pStyle w:val="Compact"/>
              <w:spacing w:before="36" w:after="36"/>
              <w:jc w:val="left"/>
              <w:rPr/>
            </w:pPr>
            <w:r>
              <w:rPr/>
              <w:t>Introduction to Design Thinking</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t>Stanford model of design thinking</w:t>
            </w:r>
          </w:p>
        </w:tc>
      </w:tr>
      <w:tr>
        <w:trPr/>
        <w:tc>
          <w:tcPr>
            <w:tcW w:w="1805" w:type="dxa"/>
            <w:tcBorders/>
            <w:shd w:fill="auto" w:val="clear"/>
          </w:tcPr>
          <w:p>
            <w:pPr>
              <w:pStyle w:val="Compact"/>
              <w:spacing w:before="36" w:after="36"/>
              <w:jc w:val="left"/>
              <w:rPr/>
            </w:pPr>
            <w:r>
              <w:rPr/>
              <w:t>2.</w:t>
            </w:r>
          </w:p>
        </w:tc>
        <w:tc>
          <w:tcPr>
            <w:tcW w:w="2517" w:type="dxa"/>
            <w:tcBorders/>
            <w:shd w:fill="auto" w:val="clear"/>
          </w:tcPr>
          <w:p>
            <w:pPr>
              <w:pStyle w:val="Compact"/>
              <w:spacing w:before="36" w:after="36"/>
              <w:jc w:val="left"/>
              <w:rPr/>
            </w:pPr>
            <w:r>
              <w:rPr/>
              <w:t>Business Context of Design Thinking</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3.</w:t>
            </w:r>
          </w:p>
        </w:tc>
        <w:tc>
          <w:tcPr>
            <w:tcW w:w="2517" w:type="dxa"/>
            <w:tcBorders/>
            <w:shd w:fill="auto" w:val="clear"/>
          </w:tcPr>
          <w:p>
            <w:pPr>
              <w:pStyle w:val="Compact"/>
              <w:spacing w:before="36" w:after="36"/>
              <w:jc w:val="left"/>
              <w:rPr/>
            </w:pPr>
            <w:r>
              <w:rPr/>
              <w:t>Inspiration from Buddhist Philosophy</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4.</w:t>
            </w:r>
          </w:p>
        </w:tc>
        <w:tc>
          <w:tcPr>
            <w:tcW w:w="2517" w:type="dxa"/>
            <w:tcBorders/>
            <w:shd w:fill="auto" w:val="clear"/>
          </w:tcPr>
          <w:p>
            <w:pPr>
              <w:pStyle w:val="Compact"/>
              <w:spacing w:before="36" w:after="36"/>
              <w:jc w:val="left"/>
              <w:rPr/>
            </w:pPr>
            <w:r>
              <w:rPr/>
              <w:t>Structure and elements of Design Thinking</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5.</w:t>
            </w:r>
          </w:p>
        </w:tc>
        <w:tc>
          <w:tcPr>
            <w:tcW w:w="2517" w:type="dxa"/>
            <w:tcBorders/>
            <w:shd w:fill="auto" w:val="clear"/>
          </w:tcPr>
          <w:p>
            <w:pPr>
              <w:pStyle w:val="Compact"/>
              <w:spacing w:before="36" w:after="36"/>
              <w:jc w:val="left"/>
              <w:rPr/>
            </w:pPr>
            <w:r>
              <w:rPr/>
              <w:t>Applications of Design Thinking</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6.</w:t>
            </w:r>
          </w:p>
        </w:tc>
        <w:tc>
          <w:tcPr>
            <w:tcW w:w="2517" w:type="dxa"/>
            <w:tcBorders/>
            <w:shd w:fill="auto" w:val="clear"/>
          </w:tcPr>
          <w:p>
            <w:pPr>
              <w:pStyle w:val="Compact"/>
              <w:spacing w:before="36" w:after="36"/>
              <w:jc w:val="left"/>
              <w:rPr/>
            </w:pPr>
            <w:r>
              <w:rPr/>
              <w:t>Lab work</w:t>
            </w:r>
          </w:p>
        </w:tc>
        <w:tc>
          <w:tcPr>
            <w:tcW w:w="1081" w:type="dxa"/>
            <w:tcBorders/>
            <w:shd w:fill="auto" w:val="clear"/>
          </w:tcPr>
          <w:p>
            <w:pPr>
              <w:pStyle w:val="Compact"/>
              <w:spacing w:before="36" w:after="36"/>
              <w:jc w:val="left"/>
              <w:rPr/>
            </w:pPr>
            <w:r>
              <w:rPr/>
              <w:t>3</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b/>
              </w:rPr>
              <w:t>Unit II: Empathize</w:t>
            </w:r>
          </w:p>
        </w:tc>
        <w:tc>
          <w:tcPr>
            <w:tcW w:w="2517" w:type="dxa"/>
            <w:tcBorders/>
            <w:shd w:fill="auto" w:val="clear"/>
          </w:tcPr>
          <w:p>
            <w:pPr>
              <w:pStyle w:val="Compact"/>
              <w:spacing w:before="36" w:after="36"/>
              <w:jc w:val="left"/>
              <w:rPr/>
            </w:pPr>
            <w:r>
              <w:rPr/>
            </w:r>
          </w:p>
        </w:tc>
        <w:tc>
          <w:tcPr>
            <w:tcW w:w="1081" w:type="dxa"/>
            <w:tcBorders/>
            <w:shd w:fill="auto" w:val="clear"/>
          </w:tcPr>
          <w:p>
            <w:pPr>
              <w:pStyle w:val="Compact"/>
              <w:spacing w:before="36" w:after="36"/>
              <w:jc w:val="left"/>
              <w:rPr/>
            </w:pPr>
            <w:r>
              <w:rPr/>
            </w:r>
          </w:p>
        </w:tc>
        <w:tc>
          <w:tcPr>
            <w:tcW w:w="1080" w:type="dxa"/>
            <w:tcBorders/>
            <w:shd w:fill="auto" w:val="clear"/>
          </w:tcPr>
          <w:p>
            <w:pPr>
              <w:pStyle w:val="Compact"/>
              <w:spacing w:before="36" w:after="36"/>
              <w:jc w:val="left"/>
              <w:rPr/>
            </w:pPr>
            <w:r>
              <w:rPr/>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7.</w:t>
            </w:r>
          </w:p>
        </w:tc>
        <w:tc>
          <w:tcPr>
            <w:tcW w:w="2517" w:type="dxa"/>
            <w:tcBorders/>
            <w:shd w:fill="auto" w:val="clear"/>
          </w:tcPr>
          <w:p>
            <w:pPr>
              <w:pStyle w:val="Compact"/>
              <w:spacing w:before="36" w:after="36"/>
              <w:jc w:val="left"/>
              <w:rPr/>
            </w:pPr>
            <w:r>
              <w:rPr/>
              <w:t>Introduction to Empathize</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t>Empathy mapping</w:t>
            </w:r>
          </w:p>
        </w:tc>
      </w:tr>
      <w:tr>
        <w:trPr/>
        <w:tc>
          <w:tcPr>
            <w:tcW w:w="1805" w:type="dxa"/>
            <w:tcBorders/>
            <w:shd w:fill="auto" w:val="clear"/>
          </w:tcPr>
          <w:p>
            <w:pPr>
              <w:pStyle w:val="Compact"/>
              <w:spacing w:before="36" w:after="36"/>
              <w:jc w:val="left"/>
              <w:rPr/>
            </w:pPr>
            <w:r>
              <w:rPr/>
              <w:t>8.</w:t>
            </w:r>
          </w:p>
        </w:tc>
        <w:tc>
          <w:tcPr>
            <w:tcW w:w="2517" w:type="dxa"/>
            <w:tcBorders/>
            <w:shd w:fill="auto" w:val="clear"/>
          </w:tcPr>
          <w:p>
            <w:pPr>
              <w:pStyle w:val="Compact"/>
              <w:spacing w:before="36" w:after="36"/>
              <w:jc w:val="left"/>
              <w:rPr/>
            </w:pPr>
            <w:r>
              <w:rPr/>
              <w:t>Customer Journey Mapping</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9.</w:t>
            </w:r>
          </w:p>
        </w:tc>
        <w:tc>
          <w:tcPr>
            <w:tcW w:w="2517" w:type="dxa"/>
            <w:tcBorders/>
            <w:shd w:fill="auto" w:val="clear"/>
          </w:tcPr>
          <w:p>
            <w:pPr>
              <w:pStyle w:val="Compact"/>
              <w:spacing w:before="36" w:after="36"/>
              <w:jc w:val="left"/>
              <w:rPr/>
            </w:pPr>
            <w:r>
              <w:rPr/>
              <w:t>Customer Journey Mapping -- Exercise</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10.</w:t>
            </w:r>
          </w:p>
        </w:tc>
        <w:tc>
          <w:tcPr>
            <w:tcW w:w="2517" w:type="dxa"/>
            <w:tcBorders/>
            <w:shd w:fill="auto" w:val="clear"/>
          </w:tcPr>
          <w:p>
            <w:pPr>
              <w:pStyle w:val="Compact"/>
              <w:spacing w:before="36" w:after="36"/>
              <w:jc w:val="left"/>
              <w:rPr/>
            </w:pPr>
            <w:r>
              <w:rPr/>
              <w:t>Field interviews</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11.</w:t>
            </w:r>
          </w:p>
        </w:tc>
        <w:tc>
          <w:tcPr>
            <w:tcW w:w="2517" w:type="dxa"/>
            <w:tcBorders/>
            <w:shd w:fill="auto" w:val="clear"/>
          </w:tcPr>
          <w:p>
            <w:pPr>
              <w:pStyle w:val="Compact"/>
              <w:spacing w:before="36" w:after="36"/>
              <w:jc w:val="left"/>
              <w:rPr/>
            </w:pPr>
            <w:r>
              <w:rPr/>
              <w:t>Lab work</w:t>
            </w:r>
          </w:p>
        </w:tc>
        <w:tc>
          <w:tcPr>
            <w:tcW w:w="1081" w:type="dxa"/>
            <w:tcBorders/>
            <w:shd w:fill="auto" w:val="clear"/>
          </w:tcPr>
          <w:p>
            <w:pPr>
              <w:pStyle w:val="Compact"/>
              <w:spacing w:before="36" w:after="36"/>
              <w:jc w:val="left"/>
              <w:rPr/>
            </w:pPr>
            <w:r>
              <w:rPr/>
              <w:t>3</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b/>
              </w:rPr>
              <w:t>Unit III: Analyze</w:t>
            </w:r>
          </w:p>
        </w:tc>
        <w:tc>
          <w:tcPr>
            <w:tcW w:w="2517" w:type="dxa"/>
            <w:tcBorders/>
            <w:shd w:fill="auto" w:val="clear"/>
          </w:tcPr>
          <w:p>
            <w:pPr>
              <w:pStyle w:val="Compact"/>
              <w:spacing w:before="36" w:after="36"/>
              <w:jc w:val="left"/>
              <w:rPr/>
            </w:pPr>
            <w:r>
              <w:rPr/>
            </w:r>
          </w:p>
        </w:tc>
        <w:tc>
          <w:tcPr>
            <w:tcW w:w="1081" w:type="dxa"/>
            <w:tcBorders/>
            <w:shd w:fill="auto" w:val="clear"/>
          </w:tcPr>
          <w:p>
            <w:pPr>
              <w:pStyle w:val="Compact"/>
              <w:spacing w:before="36" w:after="36"/>
              <w:jc w:val="left"/>
              <w:rPr/>
            </w:pPr>
            <w:r>
              <w:rPr/>
            </w:r>
          </w:p>
        </w:tc>
        <w:tc>
          <w:tcPr>
            <w:tcW w:w="1080" w:type="dxa"/>
            <w:tcBorders/>
            <w:shd w:fill="auto" w:val="clear"/>
          </w:tcPr>
          <w:p>
            <w:pPr>
              <w:pStyle w:val="Compact"/>
              <w:spacing w:before="36" w:after="36"/>
              <w:jc w:val="left"/>
              <w:rPr/>
            </w:pPr>
            <w:r>
              <w:rPr/>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12.</w:t>
            </w:r>
          </w:p>
        </w:tc>
        <w:tc>
          <w:tcPr>
            <w:tcW w:w="2517" w:type="dxa"/>
            <w:tcBorders/>
            <w:shd w:fill="auto" w:val="clear"/>
          </w:tcPr>
          <w:p>
            <w:pPr>
              <w:pStyle w:val="Compact"/>
              <w:spacing w:before="36" w:after="36"/>
              <w:jc w:val="left"/>
              <w:rPr/>
            </w:pPr>
            <w:r>
              <w:rPr/>
              <w:t>Introduction to Analyze</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t>Root cause analyze</w:t>
            </w:r>
          </w:p>
        </w:tc>
      </w:tr>
      <w:tr>
        <w:trPr/>
        <w:tc>
          <w:tcPr>
            <w:tcW w:w="1805" w:type="dxa"/>
            <w:tcBorders/>
            <w:shd w:fill="auto" w:val="clear"/>
          </w:tcPr>
          <w:p>
            <w:pPr>
              <w:pStyle w:val="Compact"/>
              <w:spacing w:before="36" w:after="36"/>
              <w:jc w:val="left"/>
              <w:rPr/>
            </w:pPr>
            <w:r>
              <w:rPr/>
              <w:t>13.</w:t>
            </w:r>
          </w:p>
        </w:tc>
        <w:tc>
          <w:tcPr>
            <w:tcW w:w="2517" w:type="dxa"/>
            <w:tcBorders/>
            <w:shd w:fill="auto" w:val="clear"/>
          </w:tcPr>
          <w:p>
            <w:pPr>
              <w:pStyle w:val="Compact"/>
              <w:spacing w:before="36" w:after="36"/>
              <w:jc w:val="left"/>
              <w:rPr/>
            </w:pPr>
            <w:r>
              <w:rPr/>
              <w:t>Multi-Why Analyze</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14.</w:t>
            </w:r>
          </w:p>
        </w:tc>
        <w:tc>
          <w:tcPr>
            <w:tcW w:w="2517" w:type="dxa"/>
            <w:tcBorders/>
            <w:shd w:fill="auto" w:val="clear"/>
          </w:tcPr>
          <w:p>
            <w:pPr>
              <w:pStyle w:val="Compact"/>
              <w:spacing w:before="36" w:after="36"/>
              <w:jc w:val="left"/>
              <w:rPr/>
            </w:pPr>
            <w:r>
              <w:rPr/>
              <w:t>Conflict of Interest Analysis</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15.</w:t>
            </w:r>
          </w:p>
        </w:tc>
        <w:tc>
          <w:tcPr>
            <w:tcW w:w="2517" w:type="dxa"/>
            <w:tcBorders/>
            <w:shd w:fill="auto" w:val="clear"/>
          </w:tcPr>
          <w:p>
            <w:pPr>
              <w:pStyle w:val="Compact"/>
              <w:spacing w:before="36" w:after="36"/>
              <w:jc w:val="left"/>
              <w:rPr/>
            </w:pPr>
            <w:r>
              <w:rPr/>
              <w:t>Bullet Proofing</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16.</w:t>
            </w:r>
          </w:p>
        </w:tc>
        <w:tc>
          <w:tcPr>
            <w:tcW w:w="2517" w:type="dxa"/>
            <w:tcBorders/>
            <w:shd w:fill="auto" w:val="clear"/>
          </w:tcPr>
          <w:p>
            <w:pPr>
              <w:pStyle w:val="Compact"/>
              <w:spacing w:before="36" w:after="36"/>
              <w:jc w:val="left"/>
              <w:rPr/>
            </w:pPr>
            <w:r>
              <w:rPr/>
              <w:t>Lab work</w:t>
            </w:r>
          </w:p>
        </w:tc>
        <w:tc>
          <w:tcPr>
            <w:tcW w:w="1081" w:type="dxa"/>
            <w:tcBorders/>
            <w:shd w:fill="auto" w:val="clear"/>
          </w:tcPr>
          <w:p>
            <w:pPr>
              <w:pStyle w:val="Compact"/>
              <w:spacing w:before="36" w:after="36"/>
              <w:jc w:val="left"/>
              <w:rPr/>
            </w:pPr>
            <w:r>
              <w:rPr/>
              <w:t>3</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b/>
              </w:rPr>
              <w:t>Unit IV: Solve</w:t>
            </w:r>
          </w:p>
        </w:tc>
        <w:tc>
          <w:tcPr>
            <w:tcW w:w="2517" w:type="dxa"/>
            <w:tcBorders/>
            <w:shd w:fill="auto" w:val="clear"/>
          </w:tcPr>
          <w:p>
            <w:pPr>
              <w:pStyle w:val="Compact"/>
              <w:spacing w:before="36" w:after="36"/>
              <w:jc w:val="left"/>
              <w:rPr/>
            </w:pPr>
            <w:r>
              <w:rPr/>
            </w:r>
          </w:p>
        </w:tc>
        <w:tc>
          <w:tcPr>
            <w:tcW w:w="1081" w:type="dxa"/>
            <w:tcBorders/>
            <w:shd w:fill="auto" w:val="clear"/>
          </w:tcPr>
          <w:p>
            <w:pPr>
              <w:pStyle w:val="Compact"/>
              <w:spacing w:before="36" w:after="36"/>
              <w:jc w:val="left"/>
              <w:rPr/>
            </w:pPr>
            <w:r>
              <w:rPr/>
            </w:r>
          </w:p>
        </w:tc>
        <w:tc>
          <w:tcPr>
            <w:tcW w:w="1080" w:type="dxa"/>
            <w:tcBorders/>
            <w:shd w:fill="auto" w:val="clear"/>
          </w:tcPr>
          <w:p>
            <w:pPr>
              <w:pStyle w:val="Compact"/>
              <w:spacing w:before="36" w:after="36"/>
              <w:jc w:val="left"/>
              <w:rPr/>
            </w:pPr>
            <w:r>
              <w:rPr/>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17.</w:t>
            </w:r>
          </w:p>
        </w:tc>
        <w:tc>
          <w:tcPr>
            <w:tcW w:w="2517" w:type="dxa"/>
            <w:tcBorders/>
            <w:shd w:fill="auto" w:val="clear"/>
          </w:tcPr>
          <w:p>
            <w:pPr>
              <w:pStyle w:val="Compact"/>
              <w:spacing w:before="36" w:after="36"/>
              <w:jc w:val="left"/>
              <w:rPr/>
            </w:pPr>
            <w:r>
              <w:rPr/>
              <w:t>Introduction to systematic problem solving</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t>SCAMPER, Six Thinking hats</w:t>
            </w:r>
          </w:p>
        </w:tc>
      </w:tr>
      <w:tr>
        <w:trPr/>
        <w:tc>
          <w:tcPr>
            <w:tcW w:w="1805" w:type="dxa"/>
            <w:tcBorders/>
            <w:shd w:fill="auto" w:val="clear"/>
          </w:tcPr>
          <w:p>
            <w:pPr>
              <w:pStyle w:val="Compact"/>
              <w:spacing w:before="36" w:after="36"/>
              <w:jc w:val="left"/>
              <w:rPr/>
            </w:pPr>
            <w:r>
              <w:rPr/>
              <w:t>18.</w:t>
            </w:r>
          </w:p>
        </w:tc>
        <w:tc>
          <w:tcPr>
            <w:tcW w:w="2517" w:type="dxa"/>
            <w:tcBorders/>
            <w:shd w:fill="auto" w:val="clear"/>
          </w:tcPr>
          <w:p>
            <w:pPr>
              <w:pStyle w:val="Compact"/>
              <w:spacing w:before="36" w:after="36"/>
              <w:jc w:val="left"/>
              <w:rPr/>
            </w:pPr>
            <w:r>
              <w:rPr/>
              <w:t>Free Brainstorming</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19.</w:t>
            </w:r>
          </w:p>
        </w:tc>
        <w:tc>
          <w:tcPr>
            <w:tcW w:w="2517" w:type="dxa"/>
            <w:tcBorders/>
            <w:shd w:fill="auto" w:val="clear"/>
          </w:tcPr>
          <w:p>
            <w:pPr>
              <w:pStyle w:val="Compact"/>
              <w:spacing w:before="36" w:after="36"/>
              <w:jc w:val="left"/>
              <w:rPr/>
            </w:pPr>
            <w:r>
              <w:rPr/>
              <w:t>Introduction to TRIZ</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20.</w:t>
            </w:r>
          </w:p>
        </w:tc>
        <w:tc>
          <w:tcPr>
            <w:tcW w:w="2517" w:type="dxa"/>
            <w:tcBorders/>
            <w:shd w:fill="auto" w:val="clear"/>
          </w:tcPr>
          <w:p>
            <w:pPr>
              <w:pStyle w:val="Compact"/>
              <w:spacing w:before="36" w:after="36"/>
              <w:jc w:val="left"/>
              <w:rPr/>
            </w:pPr>
            <w:r>
              <w:rPr/>
              <w:t>Lab work</w:t>
            </w:r>
          </w:p>
        </w:tc>
        <w:tc>
          <w:tcPr>
            <w:tcW w:w="1081" w:type="dxa"/>
            <w:tcBorders/>
            <w:shd w:fill="auto" w:val="clear"/>
          </w:tcPr>
          <w:p>
            <w:pPr>
              <w:pStyle w:val="Compact"/>
              <w:spacing w:before="36" w:after="36"/>
              <w:jc w:val="left"/>
              <w:rPr/>
            </w:pPr>
            <w:r>
              <w:rPr/>
              <w:t>3</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b/>
              </w:rPr>
              <w:t>Unit V: Prototyping, Testing and Validation</w:t>
            </w:r>
          </w:p>
        </w:tc>
        <w:tc>
          <w:tcPr>
            <w:tcW w:w="2517" w:type="dxa"/>
            <w:tcBorders/>
            <w:shd w:fill="auto" w:val="clear"/>
          </w:tcPr>
          <w:p>
            <w:pPr>
              <w:pStyle w:val="Compact"/>
              <w:spacing w:before="36" w:after="36"/>
              <w:jc w:val="left"/>
              <w:rPr/>
            </w:pPr>
            <w:r>
              <w:rPr/>
            </w:r>
          </w:p>
        </w:tc>
        <w:tc>
          <w:tcPr>
            <w:tcW w:w="1081" w:type="dxa"/>
            <w:tcBorders/>
            <w:shd w:fill="auto" w:val="clear"/>
          </w:tcPr>
          <w:p>
            <w:pPr>
              <w:pStyle w:val="Compact"/>
              <w:spacing w:before="36" w:after="36"/>
              <w:jc w:val="left"/>
              <w:rPr/>
            </w:pPr>
            <w:r>
              <w:rPr/>
            </w:r>
          </w:p>
        </w:tc>
        <w:tc>
          <w:tcPr>
            <w:tcW w:w="1080" w:type="dxa"/>
            <w:tcBorders/>
            <w:shd w:fill="auto" w:val="clear"/>
          </w:tcPr>
          <w:p>
            <w:pPr>
              <w:pStyle w:val="Compact"/>
              <w:spacing w:before="36" w:after="36"/>
              <w:jc w:val="left"/>
              <w:rPr/>
            </w:pPr>
            <w:r>
              <w:rPr/>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21.</w:t>
            </w:r>
          </w:p>
        </w:tc>
        <w:tc>
          <w:tcPr>
            <w:tcW w:w="2517" w:type="dxa"/>
            <w:tcBorders/>
            <w:shd w:fill="auto" w:val="clear"/>
          </w:tcPr>
          <w:p>
            <w:pPr>
              <w:pStyle w:val="Compact"/>
              <w:spacing w:before="36" w:after="36"/>
              <w:jc w:val="left"/>
              <w:rPr/>
            </w:pPr>
            <w:r>
              <w:rPr/>
              <w:t>Prototyping -- Products and Services</w:t>
            </w:r>
          </w:p>
        </w:tc>
        <w:tc>
          <w:tcPr>
            <w:tcW w:w="1081" w:type="dxa"/>
            <w:tcBorders/>
            <w:shd w:fill="auto" w:val="clear"/>
          </w:tcPr>
          <w:p>
            <w:pPr>
              <w:pStyle w:val="Compact"/>
              <w:spacing w:before="36" w:after="36"/>
              <w:jc w:val="left"/>
              <w:rPr/>
            </w:pPr>
            <w:r>
              <w:rPr/>
              <w:t>2</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t>Virtual prototyping</w:t>
            </w:r>
          </w:p>
        </w:tc>
      </w:tr>
      <w:tr>
        <w:trPr/>
        <w:tc>
          <w:tcPr>
            <w:tcW w:w="1805" w:type="dxa"/>
            <w:tcBorders/>
            <w:shd w:fill="auto" w:val="clear"/>
          </w:tcPr>
          <w:p>
            <w:pPr>
              <w:pStyle w:val="Compact"/>
              <w:spacing w:before="36" w:after="36"/>
              <w:jc w:val="left"/>
              <w:rPr/>
            </w:pPr>
            <w:r>
              <w:rPr/>
              <w:t>22.</w:t>
            </w:r>
          </w:p>
        </w:tc>
        <w:tc>
          <w:tcPr>
            <w:tcW w:w="2517" w:type="dxa"/>
            <w:tcBorders/>
            <w:shd w:fill="auto" w:val="clear"/>
          </w:tcPr>
          <w:p>
            <w:pPr>
              <w:pStyle w:val="Compact"/>
              <w:spacing w:before="36" w:after="36"/>
              <w:jc w:val="left"/>
              <w:rPr/>
            </w:pPr>
            <w:r>
              <w:rPr/>
              <w:t>Assumptions and features</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23.</w:t>
            </w:r>
          </w:p>
        </w:tc>
        <w:tc>
          <w:tcPr>
            <w:tcW w:w="2517" w:type="dxa"/>
            <w:tcBorders/>
            <w:shd w:fill="auto" w:val="clear"/>
          </w:tcPr>
          <w:p>
            <w:pPr>
              <w:pStyle w:val="Compact"/>
              <w:spacing w:before="36" w:after="36"/>
              <w:jc w:val="left"/>
              <w:rPr/>
            </w:pPr>
            <w:r>
              <w:rPr/>
              <w:t>Field Work and work on feedback</w:t>
            </w:r>
          </w:p>
        </w:tc>
        <w:tc>
          <w:tcPr>
            <w:tcW w:w="1081" w:type="dxa"/>
            <w:tcBorders/>
            <w:shd w:fill="auto" w:val="clear"/>
          </w:tcPr>
          <w:p>
            <w:pPr>
              <w:pStyle w:val="Compact"/>
              <w:spacing w:before="36" w:after="36"/>
              <w:jc w:val="left"/>
              <w:rPr/>
            </w:pPr>
            <w:r>
              <w:rPr/>
              <w:t>1.5</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24.</w:t>
            </w:r>
          </w:p>
        </w:tc>
        <w:tc>
          <w:tcPr>
            <w:tcW w:w="2517" w:type="dxa"/>
            <w:tcBorders/>
            <w:shd w:fill="auto" w:val="clear"/>
          </w:tcPr>
          <w:p>
            <w:pPr>
              <w:pStyle w:val="Compact"/>
              <w:spacing w:before="36" w:after="36"/>
              <w:jc w:val="left"/>
              <w:rPr/>
            </w:pPr>
            <w:r>
              <w:rPr/>
              <w:t>What next? Importance of iterations</w:t>
            </w:r>
          </w:p>
        </w:tc>
        <w:tc>
          <w:tcPr>
            <w:tcW w:w="1081" w:type="dxa"/>
            <w:tcBorders/>
            <w:shd w:fill="auto" w:val="clear"/>
          </w:tcPr>
          <w:p>
            <w:pPr>
              <w:pStyle w:val="Compact"/>
              <w:spacing w:before="36" w:after="36"/>
              <w:jc w:val="left"/>
              <w:rPr/>
            </w:pPr>
            <w:r>
              <w:rPr/>
              <w:t>1</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r>
        <w:trPr/>
        <w:tc>
          <w:tcPr>
            <w:tcW w:w="1805" w:type="dxa"/>
            <w:tcBorders/>
            <w:shd w:fill="auto" w:val="clear"/>
          </w:tcPr>
          <w:p>
            <w:pPr>
              <w:pStyle w:val="Compact"/>
              <w:spacing w:before="36" w:after="36"/>
              <w:jc w:val="left"/>
              <w:rPr/>
            </w:pPr>
            <w:r>
              <w:rPr/>
              <w:t>25.</w:t>
            </w:r>
          </w:p>
        </w:tc>
        <w:tc>
          <w:tcPr>
            <w:tcW w:w="2517" w:type="dxa"/>
            <w:tcBorders/>
            <w:shd w:fill="auto" w:val="clear"/>
          </w:tcPr>
          <w:p>
            <w:pPr>
              <w:pStyle w:val="Compact"/>
              <w:spacing w:before="36" w:after="36"/>
              <w:jc w:val="left"/>
              <w:rPr/>
            </w:pPr>
            <w:r>
              <w:rPr/>
              <w:t>Lab work</w:t>
            </w:r>
          </w:p>
        </w:tc>
        <w:tc>
          <w:tcPr>
            <w:tcW w:w="1081" w:type="dxa"/>
            <w:tcBorders/>
            <w:shd w:fill="auto" w:val="clear"/>
          </w:tcPr>
          <w:p>
            <w:pPr>
              <w:pStyle w:val="Compact"/>
              <w:spacing w:before="36" w:after="36"/>
              <w:jc w:val="left"/>
              <w:rPr/>
            </w:pPr>
            <w:r>
              <w:rPr/>
              <w:t>3</w:t>
            </w:r>
          </w:p>
        </w:tc>
        <w:tc>
          <w:tcPr>
            <w:tcW w:w="1080" w:type="dxa"/>
            <w:tcBorders/>
            <w:shd w:fill="auto" w:val="clear"/>
          </w:tcPr>
          <w:p>
            <w:pPr>
              <w:pStyle w:val="Compact"/>
              <w:spacing w:before="36" w:after="36"/>
              <w:jc w:val="left"/>
              <w:rPr/>
            </w:pPr>
            <w:r>
              <w:rPr/>
              <w:t>T1</w:t>
            </w:r>
          </w:p>
        </w:tc>
        <w:tc>
          <w:tcPr>
            <w:tcW w:w="2085" w:type="dxa"/>
            <w:tcBorders/>
            <w:shd w:fill="auto" w:val="clear"/>
          </w:tcPr>
          <w:p>
            <w:pPr>
              <w:pStyle w:val="Compact"/>
              <w:spacing w:before="36" w:after="36"/>
              <w:jc w:val="left"/>
              <w:rPr/>
            </w:pPr>
            <w:r>
              <w:rPr/>
            </w:r>
          </w:p>
        </w:tc>
      </w:tr>
    </w:tbl>
    <w:p>
      <w:pPr>
        <w:pStyle w:val="TextBody"/>
        <w:spacing w:before="180" w:after="180"/>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onsolas">
    <w:charset w:val="01"/>
    <w:family w:val="roman"/>
    <w:pitch w:val="variable"/>
  </w:font>
  <w:font w:name="Verdana">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8"/>
  <w:embedSystemFonts/>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US" w:eastAsia="zh-CN" w:bidi="hi-IN"/>
      </w:rPr>
    </w:rPrDefault>
    <w:pPrDefault>
      <w:pPr>
        <w:widowControl/>
      </w:pPr>
    </w:pPrDefault>
  </w:docDefaults>
  <w:latentStyles w:defLockedState="0" w:defUIPriority="0" w:defSemiHidden="0" w:defUnhideWhenUsed="0" w:defQFormat="0" w:count="276"/>
  <w:style w:type="paragraph" w:styleId="Normal" w:default="1">
    <w:name w:val="Normal"/>
    <w:qFormat/>
    <w:pPr>
      <w:widowControl/>
      <w:kinsoku w:val="true"/>
      <w:overflowPunct w:val="true"/>
      <w:autoSpaceDE w:val="true"/>
      <w:bidi w:val="0"/>
      <w:spacing w:before="0" w:after="200"/>
      <w:jc w:val="left"/>
    </w:pPr>
    <w:rPr>
      <w:rFonts w:ascii="Liberation Serif" w:hAnsi="Liberation Serif" w:eastAsia="WenQuanYi Micro Hei" w:cs="FreeSans"/>
      <w:color w:val="auto"/>
      <w:sz w:val="24"/>
      <w:szCs w:val="24"/>
      <w:lang w:val="en-US" w:eastAsia="zh-CN" w:bidi="hi-IN"/>
    </w:rPr>
  </w:style>
  <w:style w:type="paragraph" w:styleId="Heading1">
    <w:name w:val="Heading 1"/>
    <w:basedOn w:val="Normal"/>
    <w:next w:val="TextBody"/>
    <w:uiPriority w:val="9"/>
    <w:qFormat/>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qFormat/>
    <w:pPr>
      <w:keepNext/>
      <w:keepLines/>
      <w:numPr>
        <w:ilvl w:val="0"/>
        <w:numId w:val="0"/>
      </w:numPr>
      <w:spacing w:before="320" w:after="200"/>
      <w:outlineLvl w:val="6"/>
    </w:pPr>
    <w:rPr>
      <w:rFonts w:ascii="Arial" w:hAnsi="Arial" w:eastAsia="Arial" w:cs="Arial"/>
      <w:b/>
      <w:bCs/>
      <w:i/>
      <w:iCs/>
      <w:sz w:val="22"/>
      <w:szCs w:val="22"/>
    </w:rPr>
  </w:style>
  <w:style w:type="paragraph" w:styleId="Heading8">
    <w:name w:val="Heading 8"/>
    <w:basedOn w:val="Normal"/>
    <w:qFormat/>
    <w:pPr>
      <w:keepNext/>
      <w:keepLines/>
      <w:numPr>
        <w:ilvl w:val="0"/>
        <w:numId w:val="0"/>
      </w:numPr>
      <w:spacing w:before="320" w:after="200"/>
      <w:outlineLvl w:val="7"/>
    </w:pPr>
    <w:rPr>
      <w:rFonts w:ascii="Arial" w:hAnsi="Arial" w:eastAsia="Arial" w:cs="Arial"/>
      <w:i/>
      <w:iCs/>
      <w:sz w:val="22"/>
      <w:szCs w:val="22"/>
    </w:rPr>
  </w:style>
  <w:style w:type="paragraph" w:styleId="Heading9">
    <w:name w:val="Heading 9"/>
    <w:basedOn w:val="Normal"/>
    <w:qFormat/>
    <w:pPr>
      <w:keepNext/>
      <w:keepLines/>
      <w:numPr>
        <w:ilvl w:val="0"/>
        <w:numId w:val="0"/>
      </w:numPr>
      <w:spacing w:before="320" w:after="200"/>
      <w:outlineLvl w:val="8"/>
    </w:pPr>
    <w:rPr>
      <w:rFonts w:ascii="Arial" w:hAnsi="Arial" w:eastAsia="Arial" w:cs="Arial"/>
      <w:i/>
      <w:iCs/>
      <w:sz w:val="21"/>
      <w:szCs w:val="21"/>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ListLabel41">
    <w:name w:val="ListLabel 41"/>
    <w:qFormat/>
    <w:rPr>
      <w:b/>
      <w:sz w:val="20"/>
    </w:rPr>
  </w:style>
  <w:style w:type="character" w:styleId="ListLabel40">
    <w:name w:val="ListLabel 40"/>
    <w:qFormat/>
    <w:rPr>
      <w:rFonts w:ascii="Verdana" w:hAnsi="Verdana"/>
      <w:b w:val="false"/>
      <w:sz w:val="20"/>
    </w:rPr>
  </w:style>
  <w:style w:type="character" w:styleId="ListLabel39">
    <w:name w:val="ListLabel 39"/>
    <w:qFormat/>
    <w:rPr>
      <w:rFonts w:ascii="Verdana" w:hAnsi="Verdana"/>
      <w:bCs/>
      <w:color w:val="0000CC"/>
      <w:sz w:val="20"/>
      <w:szCs w:val="20"/>
    </w:rPr>
  </w:style>
  <w:style w:type="character" w:styleId="ListLabel38">
    <w:name w:val="ListLabel 38"/>
    <w:qFormat/>
    <w:rPr>
      <w:rFonts w:ascii="Verdana" w:hAnsi="Verdana"/>
      <w:b/>
      <w:color w:val="000000"/>
      <w:sz w:val="20"/>
      <w:szCs w:val="20"/>
      <w:u w:val="none"/>
    </w:rPr>
  </w:style>
  <w:style w:type="character" w:styleId="ListLabel37">
    <w:name w:val="ListLabel 37"/>
    <w:qFormat/>
    <w:rPr>
      <w:rFonts w:ascii="Verdana" w:hAnsi="Verdana"/>
      <w:bCs/>
      <w:sz w:val="20"/>
      <w:szCs w:val="20"/>
    </w:rPr>
  </w:style>
  <w:style w:type="character" w:styleId="ListLabel36">
    <w:name w:val="ListLabel 36"/>
    <w:qFormat/>
    <w:rPr>
      <w:rFonts w:ascii="Verdana" w:hAnsi="Verdana"/>
      <w:sz w:val="20"/>
      <w:szCs w:val="20"/>
    </w:rPr>
  </w:style>
  <w:style w:type="character" w:styleId="ListLabel35">
    <w:name w:val="ListLabel 35"/>
    <w:qFormat/>
    <w:rPr>
      <w:rFonts w:ascii="Verdana" w:hAnsi="Verdana"/>
      <w:sz w:val="20"/>
      <w:szCs w:val="20"/>
    </w:rPr>
  </w:style>
  <w:style w:type="character" w:styleId="ListLabel34">
    <w:name w:val="ListLabel 34"/>
    <w:qFormat/>
    <w:rPr>
      <w:b w:val="false"/>
    </w:rPr>
  </w:style>
  <w:style w:type="character" w:styleId="ListLabel33">
    <w:name w:val="ListLabel 33"/>
    <w:qFormat/>
    <w:rPr>
      <w:rFonts w:ascii="Verdana" w:hAnsi="Verdana"/>
      <w:b/>
      <w:sz w:val="20"/>
    </w:rPr>
  </w:style>
  <w:style w:type="character" w:styleId="ListLabel32">
    <w:name w:val="ListLabel 32"/>
    <w:qFormat/>
    <w:rPr>
      <w:rFonts w:ascii="Verdana" w:hAnsi="Verdana"/>
      <w:b w:val="false"/>
      <w:sz w:val="20"/>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rFonts w:cs="Courier New"/>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b w:val="false"/>
      <w:sz w:val="22"/>
    </w:rPr>
  </w:style>
  <w:style w:type="character" w:styleId="QuoteChar">
    <w:name w:val="Quote Char"/>
    <w:basedOn w:val="DefaultParagraphFont"/>
    <w:qFormat/>
    <w:rPr/>
  </w:style>
  <w:style w:type="character" w:styleId="Heading2Char">
    <w:name w:val="Heading 2 Char"/>
    <w:basedOn w:val="DefaultParagraphFont"/>
    <w:qFormat/>
    <w:rPr>
      <w:rFonts w:ascii="Cambria" w:hAnsi="Cambria" w:eastAsia="Cambria" w:cs="Cambria"/>
      <w:b/>
      <w:bCs/>
      <w:color w:val="4F81BD"/>
      <w:sz w:val="26"/>
      <w:szCs w:val="26"/>
      <w:lang w:val="en-US"/>
    </w:rPr>
  </w:style>
  <w:style w:type="character" w:styleId="Strong">
    <w:name w:val="Strong"/>
    <w:basedOn w:val="DefaultParagraphFont"/>
    <w:qFormat/>
    <w:rPr>
      <w:b/>
      <w:bCs/>
    </w:rPr>
  </w:style>
  <w:style w:type="character" w:styleId="St">
    <w:name w:val="st"/>
    <w:qFormat/>
    <w:rPr/>
  </w:style>
  <w:style w:type="character" w:styleId="NoSpacingChar">
    <w:name w:val="No Spacing Char"/>
    <w:qFormat/>
    <w:rPr>
      <w:rFonts w:ascii="Times New Roman" w:hAnsi="Times New Roman" w:eastAsia="Times New Roman" w:cs="Times New Roman"/>
      <w:sz w:val="24"/>
      <w:szCs w:val="24"/>
      <w:lang w:val="en-US"/>
    </w:rPr>
  </w:style>
  <w:style w:type="character" w:styleId="Heading3Char">
    <w:name w:val="Heading 3 Char"/>
    <w:basedOn w:val="DefaultParagraphFont"/>
    <w:qFormat/>
    <w:rPr>
      <w:rFonts w:ascii="Verdana" w:hAnsi="Verdana" w:eastAsia="Verdana" w:cs="Verdana"/>
      <w:b/>
      <w:bCs/>
      <w:sz w:val="20"/>
      <w:szCs w:val="20"/>
      <w:lang w:val="en-US" w:bidi="en-US"/>
    </w:rPr>
  </w:style>
  <w:style w:type="character" w:styleId="FooterChar">
    <w:name w:val="Footer Char"/>
    <w:basedOn w:val="DefaultParagraphFont"/>
    <w:qFormat/>
    <w:rPr>
      <w:rFonts w:ascii="Times New Roman" w:hAnsi="Times New Roman" w:eastAsia="Times New Roman" w:cs="Times New Roman"/>
      <w:sz w:val="24"/>
      <w:szCs w:val="24"/>
      <w:lang w:val="en-US"/>
    </w:rPr>
  </w:style>
  <w:style w:type="character" w:styleId="HeaderChar">
    <w:name w:val="Header Char"/>
    <w:basedOn w:val="DefaultParagraphFont"/>
    <w:qFormat/>
    <w:rPr>
      <w:rFonts w:ascii="Times New Roman" w:hAnsi="Times New Roman" w:eastAsia="Times New Roman" w:cs="Times New Roman"/>
      <w:sz w:val="24"/>
      <w:szCs w:val="24"/>
      <w:lang w:val="en-US"/>
    </w:rPr>
  </w:style>
  <w:style w:type="character" w:styleId="BalloonTextChar">
    <w:name w:val="Balloon Text Char"/>
    <w:basedOn w:val="DefaultParagraphFont"/>
    <w:qFormat/>
    <w:rPr>
      <w:rFonts w:ascii="Tahoma" w:hAnsi="Tahoma" w:eastAsia="Times New Roman" w:cs="Tahoma"/>
      <w:sz w:val="16"/>
      <w:szCs w:val="16"/>
      <w:lang w:val="en-US"/>
    </w:rPr>
  </w:style>
  <w:style w:type="character" w:styleId="Footnotereference">
    <w:name w:val="footnote reference"/>
    <w:qFormat/>
    <w:rPr>
      <w:vertAlign w:val="superscript"/>
    </w:rPr>
  </w:style>
  <w:style w:type="character" w:styleId="FootnoteTextChar">
    <w:name w:val="Footnote Text Char"/>
    <w:qFormat/>
    <w:rPr>
      <w:sz w:val="18"/>
    </w:rPr>
  </w:style>
  <w:style w:type="character" w:styleId="CaptionChar">
    <w:name w:val="Caption Char"/>
    <w:qFormat/>
    <w:rPr/>
  </w:style>
  <w:style w:type="character" w:styleId="IntenseQuoteChar">
    <w:name w:val="Intense Quote Char"/>
    <w:qFormat/>
    <w:rPr>
      <w:i/>
    </w:rPr>
  </w:style>
  <w:style w:type="character" w:styleId="SubtitleChar">
    <w:name w:val="Subtitle Char"/>
    <w:qFormat/>
    <w:rPr>
      <w:sz w:val="24"/>
      <w:szCs w:val="24"/>
    </w:rPr>
  </w:style>
  <w:style w:type="character" w:styleId="TitleChar">
    <w:name w:val="Title Char"/>
    <w:qFormat/>
    <w:rPr>
      <w:sz w:val="48"/>
      <w:szCs w:val="48"/>
    </w:rPr>
  </w:style>
  <w:style w:type="character" w:styleId="Heading9Char">
    <w:name w:val="Heading 9 Char"/>
    <w:qFormat/>
    <w:rPr>
      <w:rFonts w:ascii="Arial" w:hAnsi="Arial" w:eastAsia="Arial" w:cs="Arial"/>
      <w:i/>
      <w:iCs/>
      <w:sz w:val="21"/>
      <w:szCs w:val="21"/>
    </w:rPr>
  </w:style>
  <w:style w:type="character" w:styleId="Heading8Char">
    <w:name w:val="Heading 8 Char"/>
    <w:qFormat/>
    <w:rPr>
      <w:rFonts w:ascii="Arial" w:hAnsi="Arial" w:eastAsia="Arial" w:cs="Arial"/>
      <w:i/>
      <w:iCs/>
      <w:sz w:val="22"/>
      <w:szCs w:val="22"/>
    </w:rPr>
  </w:style>
  <w:style w:type="character" w:styleId="Heading7Char">
    <w:name w:val="Heading 7 Char"/>
    <w:qFormat/>
    <w:rPr>
      <w:rFonts w:ascii="Arial" w:hAnsi="Arial" w:eastAsia="Arial" w:cs="Arial"/>
      <w:b/>
      <w:bCs/>
      <w:i/>
      <w:iCs/>
      <w:sz w:val="22"/>
      <w:szCs w:val="22"/>
    </w:rPr>
  </w:style>
  <w:style w:type="character" w:styleId="Heading6Char">
    <w:name w:val="Heading 6 Char"/>
    <w:qFormat/>
    <w:rPr>
      <w:rFonts w:ascii="Arial" w:hAnsi="Arial" w:eastAsia="Arial" w:cs="Arial"/>
      <w:b/>
      <w:bCs/>
      <w:sz w:val="22"/>
      <w:szCs w:val="22"/>
    </w:rPr>
  </w:style>
  <w:style w:type="character" w:styleId="Heading5Char">
    <w:name w:val="Heading 5 Char"/>
    <w:qFormat/>
    <w:rPr>
      <w:rFonts w:ascii="Arial" w:hAnsi="Arial" w:eastAsia="Arial" w:cs="Arial"/>
      <w:b/>
      <w:bCs/>
      <w:sz w:val="24"/>
      <w:szCs w:val="24"/>
    </w:rPr>
  </w:style>
  <w:style w:type="character" w:styleId="Heading4Char">
    <w:name w:val="Heading 4 Char"/>
    <w:qFormat/>
    <w:rPr>
      <w:rFonts w:ascii="Arial" w:hAnsi="Arial" w:eastAsia="Arial" w:cs="Arial"/>
      <w:b/>
      <w:bCs/>
      <w:sz w:val="26"/>
      <w:szCs w:val="26"/>
    </w:rPr>
  </w:style>
  <w:style w:type="character" w:styleId="Heading1Char">
    <w:name w:val="Heading 1 Char"/>
    <w:qFormat/>
    <w:rPr>
      <w:rFonts w:ascii="Arial" w:hAnsi="Arial" w:eastAsia="Arial" w:cs="Arial"/>
      <w:sz w:val="40"/>
      <w:szCs w:val="40"/>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keepLines/>
      <w:spacing w:before="240" w:after="240"/>
      <w:jc w:val="center"/>
    </w:pPr>
    <w:rPr>
      <w:sz w:val="30"/>
      <w:szCs w:val="30"/>
    </w:rPr>
  </w:style>
  <w:style w:type="paragraph" w:styleId="Author" w:customStyle="1">
    <w:name w:val="Author"/>
    <w:next w:val="TextBody"/>
    <w:qFormat/>
    <w:pPr>
      <w:keepNext/>
      <w:keepLines/>
      <w:widowControl/>
      <w:kinsoku w:val="true"/>
      <w:overflowPunct w:val="true"/>
      <w:autoSpaceDE w:val="true"/>
      <w:bidi w:val="0"/>
      <w:jc w:val="center"/>
    </w:pPr>
    <w:rPr>
      <w:rFonts w:ascii="Liberation Serif" w:hAnsi="Liberation Serif" w:eastAsia="WenQuanYi Micro Hei" w:cs="FreeSans"/>
      <w:color w:val="auto"/>
      <w:sz w:val="24"/>
      <w:szCs w:val="24"/>
      <w:lang w:val="en-US" w:eastAsia="zh-CN" w:bidi="hi-IN"/>
    </w:rPr>
  </w:style>
  <w:style w:type="paragraph" w:styleId="Date">
    <w:name w:val="Date"/>
    <w:next w:val="TextBody"/>
    <w:qFormat/>
    <w:pPr>
      <w:keepNext/>
      <w:keepLines/>
      <w:widowControl/>
      <w:kinsoku w:val="true"/>
      <w:overflowPunct w:val="true"/>
      <w:autoSpaceDE w:val="true"/>
      <w:bidi w:val="0"/>
      <w:jc w:val="center"/>
    </w:pPr>
    <w:rPr>
      <w:rFonts w:ascii="Liberation Serif" w:hAnsi="Liberation Serif" w:eastAsia="WenQuanYi Micro Hei" w:cs="FreeSans"/>
      <w:color w:val="auto"/>
      <w:sz w:val="24"/>
      <w:szCs w:val="24"/>
      <w:lang w:val="en-US" w:eastAsia="zh-CN" w:bidi="hi-IN"/>
    </w:rPr>
  </w:style>
  <w:style w:type="paragraph" w:styleId="Abstract" w:customStyle="1">
    <w:name w:val="Abstract"/>
    <w:basedOn w:val="Normal"/>
    <w:next w:val="TextBody"/>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FrameContents">
    <w:name w:val="Frame Contents"/>
    <w:basedOn w:val="Normal"/>
    <w:qFormat/>
    <w:pPr/>
    <w:rPr/>
  </w:style>
  <w:style w:type="paragraph" w:styleId="LOnormal">
    <w:name w:val="LO-normal"/>
    <w:qFormat/>
    <w:pPr>
      <w:widowControl/>
      <w:kinsoku w:val="true"/>
      <w:overflowPunct w:val="true"/>
      <w:autoSpaceDE w:val="true"/>
      <w:bidi w:val="0"/>
      <w:jc w:val="left"/>
    </w:pPr>
    <w:rPr>
      <w:rFonts w:ascii="Times New Roman" w:hAnsi="Times New Roman" w:eastAsia="Times New Roman" w:cs="Times New Roman"/>
      <w:color w:val="auto"/>
      <w:sz w:val="24"/>
      <w:szCs w:val="24"/>
      <w:lang w:val="en-US" w:eastAsia="zh-CN" w:bidi="hi-IN"/>
    </w:rPr>
  </w:style>
  <w:style w:type="paragraph" w:styleId="NoSpacing">
    <w:name w:val="No Spacing"/>
    <w:qFormat/>
    <w:pPr>
      <w:widowControl/>
      <w:kinsoku w:val="true"/>
      <w:overflowPunct w:val="true"/>
      <w:autoSpaceDE w:val="true"/>
      <w:bidi w:val="0"/>
      <w:jc w:val="left"/>
    </w:pPr>
    <w:rPr>
      <w:rFonts w:ascii="Times New Roman" w:hAnsi="Times New Roman" w:eastAsia="Times New Roman" w:cs="Times New Roman"/>
      <w:color w:val="auto"/>
      <w:sz w:val="24"/>
      <w:szCs w:val="24"/>
      <w:lang w:val="en-US" w:eastAsia="zh-CN" w:bidi="hi-IN"/>
    </w:rPr>
  </w:style>
  <w:style w:type="paragraph" w:styleId="Footer">
    <w:name w:val="Footer"/>
    <w:basedOn w:val="Normal"/>
    <w:pPr>
      <w:tabs>
        <w:tab w:val="center" w:pos="4680" w:leader="none"/>
        <w:tab w:val="right" w:pos="9360" w:leader="none"/>
      </w:tabs>
    </w:pPr>
    <w:rPr/>
  </w:style>
  <w:style w:type="paragraph" w:styleId="Header">
    <w:name w:val="Head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Contents9">
    <w:name w:val="TOC 9"/>
    <w:basedOn w:val="Normal"/>
    <w:pPr>
      <w:spacing w:before="0" w:after="57"/>
      <w:ind w:left="2268" w:right="0" w:hanging="0"/>
    </w:pPr>
    <w:rPr/>
  </w:style>
  <w:style w:type="paragraph" w:styleId="Contents8">
    <w:name w:val="TOC 8"/>
    <w:basedOn w:val="Normal"/>
    <w:pPr>
      <w:spacing w:before="0" w:after="57"/>
      <w:ind w:left="1984" w:right="0" w:hanging="0"/>
    </w:pPr>
    <w:rPr/>
  </w:style>
  <w:style w:type="paragraph" w:styleId="Contents7">
    <w:name w:val="TOC 7"/>
    <w:basedOn w:val="Normal"/>
    <w:pPr>
      <w:spacing w:before="0" w:after="57"/>
      <w:ind w:left="1701" w:right="0" w:hanging="0"/>
    </w:pPr>
    <w:rPr/>
  </w:style>
  <w:style w:type="paragraph" w:styleId="Contents6">
    <w:name w:val="TOC 6"/>
    <w:basedOn w:val="Normal"/>
    <w:pPr>
      <w:spacing w:before="0" w:after="57"/>
      <w:ind w:left="1417" w:right="0" w:hanging="0"/>
    </w:pPr>
    <w:rPr/>
  </w:style>
  <w:style w:type="paragraph" w:styleId="Contents5">
    <w:name w:val="TOC 5"/>
    <w:basedOn w:val="Normal"/>
    <w:pPr>
      <w:spacing w:before="0" w:after="57"/>
      <w:ind w:left="1134" w:right="0" w:hanging="0"/>
    </w:pPr>
    <w:rPr/>
  </w:style>
  <w:style w:type="paragraph" w:styleId="Contents4">
    <w:name w:val="TOC 4"/>
    <w:basedOn w:val="Normal"/>
    <w:pPr>
      <w:spacing w:before="0" w:after="57"/>
      <w:ind w:left="850" w:right="0" w:hanging="0"/>
    </w:pPr>
    <w:rPr/>
  </w:style>
  <w:style w:type="paragraph" w:styleId="Contents3">
    <w:name w:val="TOC 3"/>
    <w:basedOn w:val="Normal"/>
    <w:pPr>
      <w:spacing w:before="0" w:after="57"/>
      <w:ind w:left="567" w:right="0" w:hanging="0"/>
    </w:pPr>
    <w:rPr/>
  </w:style>
  <w:style w:type="paragraph" w:styleId="Contents2">
    <w:name w:val="TOC 2"/>
    <w:basedOn w:val="Normal"/>
    <w:pPr>
      <w:spacing w:before="0" w:after="57"/>
      <w:ind w:left="283" w:right="0" w:hanging="0"/>
    </w:pPr>
    <w:rPr/>
  </w:style>
  <w:style w:type="paragraph" w:styleId="Contents1">
    <w:name w:val="TOC 1"/>
    <w:basedOn w:val="Normal"/>
    <w:pPr>
      <w:spacing w:before="0" w:after="57"/>
      <w:ind w:left="0" w:right="0" w:hanging="0"/>
    </w:pPr>
    <w:rPr/>
  </w:style>
  <w:style w:type="paragraph" w:styleId="Footnotetext">
    <w:name w:val="footnote text"/>
    <w:basedOn w:val="Normal"/>
    <w:qFormat/>
    <w:pPr>
      <w:spacing w:lineRule="auto" w:line="240" w:before="0" w:after="40"/>
    </w:pPr>
    <w:rPr>
      <w:sz w:val="18"/>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fill="F2F2F2" w:val="clear"/>
      <w:spacing w:before="0" w:after="0"/>
      <w:ind w:left="720" w:right="720" w:hanging="0"/>
    </w:pPr>
    <w:rPr>
      <w:i/>
    </w:rPr>
  </w:style>
  <w:style w:type="paragraph" w:styleId="Quote">
    <w:name w:val="Quote"/>
    <w:basedOn w:val="Normal"/>
    <w:qFormat/>
    <w:pPr>
      <w:ind w:left="720" w:right="720" w:hanging="0"/>
    </w:pPr>
    <w:rPr>
      <w:i/>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name w:val="No List"/>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pothi.com/book/dr-bala-ramadurai-karmic-design-thinking/" TargetMode="External"/><Relationship Id="rId3" Type="http://schemas.openxmlformats.org/officeDocument/2006/relationships/hyperlink" Target="http://www.amazon.com/101-Design-Methods-Structured-Organization/dp/1118083466" TargetMode="External"/><Relationship Id="rId4" Type="http://schemas.openxmlformats.org/officeDocument/2006/relationships/hyperlink" Target="http://www.amazon.com/Human-Centered-Design-Toolkit-Open-Source-Developing/dp/0984645705/ref=sr_1_1?s=books&amp;ie=UTF8&amp;qid=1365783619&amp;sr=1-1&amp;keywords=human+centered+design" TargetMode="External"/><Relationship Id="rId5" Type="http://schemas.openxmlformats.org/officeDocument/2006/relationships/hyperlink" Target="http://www.amazon.com/This-Service-Design-Thinking-Basics/dp/1118156307" TargetMode="External"/><Relationship Id="rId6" Type="http://schemas.openxmlformats.org/officeDocument/2006/relationships/hyperlink" Target="https://www.interaction-design.org/literature/topics/design-thinking" TargetMode="External"/><Relationship Id="rId7" Type="http://schemas.openxmlformats.org/officeDocument/2006/relationships/hyperlink" Target="https://www.interaction-design.org/literature/article/how-to-develop-an-empathic-approach-in-design-thinking" TargetMode="External"/><Relationship Id="rId8" Type="http://schemas.openxmlformats.org/officeDocument/2006/relationships/hyperlink" Target="https://medium.com/dc-design/what-is-human-centered-design-6711c09e2779" TargetMode="External"/><Relationship Id="rId9" Type="http://schemas.openxmlformats.org/officeDocument/2006/relationships/hyperlink" Target="https://think.design/user-design-research/user-testin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LibreOffice/5.1.6.2$Linux_x86 LibreOffice_project/10m0$Build-2</Application>
  <Pages>4</Pages>
  <Words>706</Words>
  <Characters>4143</Characters>
  <CharactersWithSpaces>4656</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2020-10-14T11:07:05Z</dcterms:modified>
  <cp:revision>1</cp:revision>
  <dc:subject/>
  <dc:title>Overview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